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  <w:bookmarkStart w:id="0" w:name="_GoBack"/>
      <w:bookmarkEnd w:id="0"/>
    </w:p>
    <w:p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F96CD9" w:rsidRPr="00992E15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992E15">
        <w:rPr>
          <w:b/>
          <w:w w:val="105"/>
          <w:sz w:val="28"/>
          <w:szCs w:val="28"/>
        </w:rPr>
        <w:t>ISISS “E. MATTEI” DI AVERSA</w:t>
      </w:r>
    </w:p>
    <w:p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ED5097" w:rsidRPr="00992E15" w:rsidRDefault="00992E15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992E15">
        <w:rPr>
          <w:b/>
          <w:w w:val="105"/>
          <w:sz w:val="28"/>
          <w:szCs w:val="28"/>
        </w:rPr>
        <w:t>Programmazione per com</w:t>
      </w:r>
      <w:r w:rsidR="00745278">
        <w:rPr>
          <w:b/>
          <w:w w:val="105"/>
          <w:sz w:val="28"/>
          <w:szCs w:val="28"/>
        </w:rPr>
        <w:t>petenze: Psicologia generale ed applicata</w:t>
      </w:r>
    </w:p>
    <w:p w:rsidR="00D06FA1" w:rsidRPr="00992E15" w:rsidRDefault="00D06FA1" w:rsidP="00ED5097">
      <w:pPr>
        <w:rPr>
          <w:sz w:val="28"/>
          <w:szCs w:val="28"/>
        </w:rPr>
      </w:pPr>
    </w:p>
    <w:p w:rsidR="00ED5097" w:rsidRDefault="00BD123E" w:rsidP="00BD123E">
      <w:pPr>
        <w:rPr>
          <w:b/>
          <w:w w:val="105"/>
        </w:rPr>
      </w:pPr>
      <w:r w:rsidRPr="00BD123E">
        <w:rPr>
          <w:b/>
          <w:w w:val="105"/>
        </w:rPr>
        <w:t>CLASSE     I</w:t>
      </w:r>
      <w:r w:rsidR="00745278">
        <w:rPr>
          <w:b/>
          <w:w w:val="105"/>
        </w:rPr>
        <w:t>V</w:t>
      </w:r>
      <w:r w:rsidRPr="00BD123E">
        <w:rPr>
          <w:b/>
          <w:w w:val="105"/>
        </w:rPr>
        <w:t xml:space="preserve">     INDIRIZZO PROFESSIONALE      SANITA’ E ASSISTENZA SOCIALE</w:t>
      </w:r>
    </w:p>
    <w:p w:rsidR="00BD123E" w:rsidRPr="00BD123E" w:rsidRDefault="00BD123E" w:rsidP="00BD123E"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 xml:space="preserve">    SERVIZI COMMERCIALI                                                                    </w:t>
      </w:r>
    </w:p>
    <w:p w:rsidR="00ED5097" w:rsidRDefault="00ED5097"/>
    <w:p w:rsidR="00BD123E" w:rsidRDefault="00BD123E"/>
    <w:p w:rsidR="005233E3" w:rsidRDefault="00992E15">
      <w:pPr>
        <w:rPr>
          <w:b/>
        </w:rPr>
      </w:pPr>
      <w:r>
        <w:rPr>
          <w:b/>
        </w:rPr>
        <w:t>I  Quadrimestre</w:t>
      </w:r>
      <w:r w:rsidR="00ED5097" w:rsidRPr="00ED5097">
        <w:rPr>
          <w:b/>
        </w:rPr>
        <w:t xml:space="preserve">  </w:t>
      </w:r>
    </w:p>
    <w:p w:rsidR="00ED5097" w:rsidRPr="00ED5097" w:rsidRDefault="00992E15">
      <w:pPr>
        <w:rPr>
          <w:b/>
        </w:rPr>
      </w:pPr>
      <w:r>
        <w:rPr>
          <w:b/>
        </w:rPr>
        <w:t>Unità di apprendimento</w:t>
      </w:r>
      <w:r w:rsidR="00FF7379">
        <w:rPr>
          <w:b/>
        </w:rPr>
        <w:t xml:space="preserve"> 0</w:t>
      </w:r>
      <w:r w:rsidR="00BA6D90">
        <w:rPr>
          <w:b/>
        </w:rPr>
        <w:t xml:space="preserve"> : </w:t>
      </w:r>
      <w:r w:rsidR="007F4B58">
        <w:rPr>
          <w:b/>
        </w:rPr>
        <w:t>Le teorie della comunicazione</w:t>
      </w:r>
    </w:p>
    <w:p w:rsidR="00ED5097" w:rsidRDefault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7808C0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1" w:name="_Hlk525505521"/>
          </w:p>
          <w:p w:rsidR="007808C0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A2769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061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1"/>
      <w:tr w:rsidR="007808C0" w:rsidTr="007808C0">
        <w:trPr>
          <w:trHeight w:val="10714"/>
          <w:jc w:val="center"/>
        </w:trPr>
        <w:tc>
          <w:tcPr>
            <w:tcW w:w="2410" w:type="dxa"/>
          </w:tcPr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7F4B58" w:rsidP="00960973">
            <w:pPr>
              <w:pStyle w:val="TableParagraph"/>
              <w:rPr>
                <w:lang w:val="it-IT"/>
              </w:rPr>
            </w:pPr>
            <w:r w:rsidRPr="009A34EC">
              <w:rPr>
                <w:lang w:val="it-IT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Pr="00960973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P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CD37F3" w:rsidRPr="00E349FB" w:rsidRDefault="00CD37F3" w:rsidP="0030632B">
            <w:pPr>
              <w:pStyle w:val="TableParagraph"/>
              <w:spacing w:line="252" w:lineRule="auto"/>
              <w:ind w:right="229"/>
              <w:jc w:val="both"/>
              <w:rPr>
                <w:u w:val="single"/>
                <w:lang w:val="it-IT"/>
              </w:rPr>
            </w:pPr>
          </w:p>
        </w:tc>
        <w:tc>
          <w:tcPr>
            <w:tcW w:w="2151" w:type="dxa"/>
          </w:tcPr>
          <w:p w:rsidR="003B2FFA" w:rsidRDefault="003B2FFA" w:rsidP="003B2FFA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Adottare modalità comunicativo-relazionali idonei ai contesti organizzativo-professionali</w:t>
            </w:r>
          </w:p>
          <w:p w:rsidR="00B8464F" w:rsidRDefault="00B8464F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B8464F" w:rsidRDefault="00B8464F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B8464F" w:rsidRPr="00ED5097" w:rsidRDefault="00B8464F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808C0" w:rsidRDefault="00856244" w:rsidP="007851E8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E349FB" w:rsidRPr="00E349FB" w:rsidRDefault="00E349FB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22049" w:rsidRPr="00E349FB" w:rsidRDefault="00C22049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22049" w:rsidRPr="00E349FB" w:rsidRDefault="00C22049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22049" w:rsidRPr="00E349FB" w:rsidRDefault="00C22049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D37F3" w:rsidRPr="00E349FB" w:rsidRDefault="00CD37F3" w:rsidP="007851E8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E349FB">
              <w:rPr>
                <w:lang w:val="it-IT"/>
              </w:rPr>
              <w:t xml:space="preserve"> </w:t>
            </w:r>
          </w:p>
        </w:tc>
        <w:tc>
          <w:tcPr>
            <w:tcW w:w="3043" w:type="dxa"/>
          </w:tcPr>
          <w:p w:rsidR="007808C0" w:rsidRDefault="008B4A64" w:rsidP="008B4A64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8B4A64">
              <w:rPr>
                <w:b/>
                <w:w w:val="105"/>
                <w:lang w:val="it-IT"/>
              </w:rPr>
              <w:t>Conoscenze</w:t>
            </w:r>
          </w:p>
          <w:p w:rsidR="003B2FFA" w:rsidRDefault="003B2FFA" w:rsidP="003B2FFA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Comunicazione e relazione:</w:t>
            </w:r>
          </w:p>
          <w:p w:rsidR="003B2FFA" w:rsidRPr="00185DF7" w:rsidRDefault="003B2FFA" w:rsidP="003B2FFA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aspetti generali e principali modelli di riferimento</w:t>
            </w:r>
          </w:p>
          <w:p w:rsidR="008B4A64" w:rsidRDefault="008B4A64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B8464F" w:rsidRDefault="00B8464F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B8464F" w:rsidRDefault="00B8464F" w:rsidP="00A2291F">
            <w:pPr>
              <w:pStyle w:val="TableParagraph"/>
              <w:rPr>
                <w:w w:val="105"/>
                <w:lang w:val="it-IT"/>
              </w:rPr>
            </w:pPr>
          </w:p>
          <w:p w:rsidR="00A2291F" w:rsidRPr="00A2291F" w:rsidRDefault="00A2291F" w:rsidP="00A2291F">
            <w:pPr>
              <w:pStyle w:val="TableParagraph"/>
              <w:rPr>
                <w:b/>
                <w:w w:val="105"/>
                <w:lang w:val="it-IT"/>
              </w:rPr>
            </w:pPr>
          </w:p>
          <w:p w:rsidR="008B4A64" w:rsidRDefault="008B4A64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B4A64" w:rsidRDefault="008B4A64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B4A64" w:rsidRDefault="008B4A64" w:rsidP="008B4A64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8B4A64">
              <w:rPr>
                <w:b/>
                <w:w w:val="105"/>
                <w:lang w:val="it-IT"/>
              </w:rPr>
              <w:t>Contenuti</w:t>
            </w:r>
          </w:p>
          <w:p w:rsidR="0043638E" w:rsidRDefault="0043638E" w:rsidP="00BC5717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comunicazione come trasmissione</w:t>
            </w:r>
          </w:p>
          <w:p w:rsidR="0043638E" w:rsidRDefault="0043638E" w:rsidP="00BC5717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comunicazione come azione e interazione</w:t>
            </w:r>
          </w:p>
          <w:p w:rsidR="007B53D8" w:rsidRPr="00ED5097" w:rsidRDefault="0043638E" w:rsidP="00BC5717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comunicazione come relazione</w:t>
            </w: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Pr="00ED5097" w:rsidRDefault="007808C0" w:rsidP="00061B6B">
            <w:pPr>
              <w:pStyle w:val="TableParagraph"/>
              <w:jc w:val="right"/>
              <w:rPr>
                <w:b/>
                <w:lang w:val="it-IT"/>
              </w:rPr>
            </w:pPr>
          </w:p>
          <w:p w:rsidR="0030632B" w:rsidRDefault="007B53D8" w:rsidP="0030632B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Settembre</w:t>
            </w:r>
          </w:p>
          <w:p w:rsidR="0030632B" w:rsidRDefault="007B53D8" w:rsidP="0030632B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Ottobre</w:t>
            </w:r>
          </w:p>
          <w:p w:rsidR="007808C0" w:rsidRDefault="007808C0" w:rsidP="007851E8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:rsidR="007851E8" w:rsidRPr="007851E8" w:rsidRDefault="007851E8" w:rsidP="007851E8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</w:tc>
      </w:tr>
    </w:tbl>
    <w:p w:rsidR="00ED5097" w:rsidRDefault="00ED5097"/>
    <w:p w:rsidR="00ED5097" w:rsidRDefault="00ED5097"/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717DD6" w:rsidRDefault="00717DD6" w:rsidP="00ED5097">
      <w:pPr>
        <w:rPr>
          <w:b/>
        </w:rPr>
      </w:pPr>
      <w:r>
        <w:rPr>
          <w:b/>
        </w:rPr>
        <w:t>I   Quadrimestre</w:t>
      </w:r>
    </w:p>
    <w:p w:rsidR="005233E3" w:rsidRDefault="00ED5097" w:rsidP="00ED5097">
      <w:pPr>
        <w:rPr>
          <w:b/>
        </w:rPr>
      </w:pPr>
      <w:r w:rsidRPr="00ED5097">
        <w:rPr>
          <w:b/>
        </w:rPr>
        <w:t xml:space="preserve">  </w:t>
      </w:r>
    </w:p>
    <w:p w:rsidR="00ED5097" w:rsidRPr="00ED5097" w:rsidRDefault="00D04191" w:rsidP="00ED5097">
      <w:pPr>
        <w:rPr>
          <w:b/>
        </w:rPr>
      </w:pPr>
      <w:r>
        <w:rPr>
          <w:b/>
        </w:rPr>
        <w:t>Unità di apprendimento</w:t>
      </w:r>
      <w:r w:rsidR="002702A6">
        <w:rPr>
          <w:b/>
        </w:rPr>
        <w:t xml:space="preserve"> I</w:t>
      </w:r>
      <w:r w:rsidR="00EA25E8">
        <w:rPr>
          <w:b/>
        </w:rPr>
        <w:t>: Il disagio minorile</w:t>
      </w:r>
    </w:p>
    <w:p w:rsidR="00ED5097" w:rsidRPr="00ED5097" w:rsidRDefault="00ED5097" w:rsidP="00ED5097">
      <w:pPr>
        <w:rPr>
          <w:b/>
        </w:rPr>
      </w:pPr>
    </w:p>
    <w:p w:rsidR="00ED5097" w:rsidRDefault="00ED5097" w:rsidP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93"/>
        <w:gridCol w:w="2901"/>
        <w:gridCol w:w="1970"/>
      </w:tblGrid>
      <w:tr w:rsidR="007808C0" w:rsidTr="00F17D5C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293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01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F17D5C">
        <w:trPr>
          <w:trHeight w:val="10714"/>
          <w:jc w:val="center"/>
        </w:trPr>
        <w:tc>
          <w:tcPr>
            <w:tcW w:w="2410" w:type="dxa"/>
          </w:tcPr>
          <w:p w:rsidR="009A34EC" w:rsidRDefault="00EA25E8" w:rsidP="009A34EC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 </w:t>
            </w: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Pr="009A34EC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Pr="00A62DA1" w:rsidRDefault="007B468E" w:rsidP="007B468E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7B468E" w:rsidRDefault="007B468E" w:rsidP="007B468E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8B4A64" w:rsidRPr="00E349FB" w:rsidRDefault="008B4A64" w:rsidP="008B4A64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2293" w:type="dxa"/>
          </w:tcPr>
          <w:p w:rsidR="007808C0" w:rsidRDefault="000B6924" w:rsidP="000B6924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Individuare le opportunità offerte dal territorio per rispondere ai bisogni sociali e socio-sanitari</w:t>
            </w:r>
          </w:p>
          <w:p w:rsidR="00975A5F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Pr="00ED5097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Pr="00E349FB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Pr="00E349FB" w:rsidRDefault="00975A5F" w:rsidP="00975A5F">
            <w:pPr>
              <w:rPr>
                <w:lang w:val="it-IT"/>
              </w:rPr>
            </w:pPr>
          </w:p>
          <w:p w:rsidR="00975A5F" w:rsidRPr="00E349FB" w:rsidRDefault="00975A5F" w:rsidP="00975A5F">
            <w:pPr>
              <w:rPr>
                <w:lang w:val="it-IT"/>
              </w:rPr>
            </w:pPr>
          </w:p>
          <w:p w:rsidR="007808C0" w:rsidRPr="00E349FB" w:rsidRDefault="007808C0" w:rsidP="00975A5F">
            <w:pPr>
              <w:rPr>
                <w:lang w:val="it-IT"/>
              </w:rPr>
            </w:pPr>
          </w:p>
        </w:tc>
        <w:tc>
          <w:tcPr>
            <w:tcW w:w="2901" w:type="dxa"/>
          </w:tcPr>
          <w:p w:rsidR="007808C0" w:rsidRDefault="00975A5F" w:rsidP="00975A5F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975A5F">
              <w:rPr>
                <w:b/>
                <w:w w:val="105"/>
                <w:lang w:val="it-IT"/>
              </w:rPr>
              <w:t>Conoscenze</w:t>
            </w:r>
          </w:p>
          <w:p w:rsidR="0054483C" w:rsidRDefault="0054483C" w:rsidP="0054483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Tipologia dei servizi sociali, socio-educativi, sanitari e socio-sanitari</w:t>
            </w:r>
          </w:p>
          <w:p w:rsidR="0054483C" w:rsidRPr="00ED5097" w:rsidRDefault="0054483C" w:rsidP="0054483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4483C" w:rsidRPr="00ED5097" w:rsidRDefault="0054483C" w:rsidP="0054483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4483C" w:rsidRPr="00ED5097" w:rsidRDefault="0054483C" w:rsidP="0054483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4483C" w:rsidRPr="00ED5097" w:rsidRDefault="0054483C" w:rsidP="0054483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4483C" w:rsidRPr="00ED5097" w:rsidRDefault="0054483C" w:rsidP="0054483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4483C" w:rsidRPr="00ED5097" w:rsidRDefault="0054483C" w:rsidP="0054483C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4483C" w:rsidRPr="007515EA" w:rsidRDefault="0054483C" w:rsidP="0054483C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Contenuti</w:t>
            </w:r>
          </w:p>
          <w:p w:rsidR="0054483C" w:rsidRDefault="0054483C" w:rsidP="0054483C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maltrattamento minorile</w:t>
            </w:r>
          </w:p>
          <w:p w:rsidR="0054483C" w:rsidRDefault="0054483C" w:rsidP="0054483C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maltrattamento psicologico in famiglia</w:t>
            </w:r>
          </w:p>
          <w:p w:rsidR="0054483C" w:rsidRDefault="0054483C" w:rsidP="0054483C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crisi adolescenziale</w:t>
            </w:r>
          </w:p>
          <w:p w:rsidR="00185DF7" w:rsidRPr="00185DF7" w:rsidRDefault="00185DF7" w:rsidP="0054483C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Pr="00ED509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Pr="00ED5097" w:rsidRDefault="00975A5F" w:rsidP="00975A5F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Pr="00975A5F" w:rsidRDefault="00975A5F" w:rsidP="00975A5F">
            <w:pPr>
              <w:pStyle w:val="TableParagraph"/>
              <w:spacing w:before="62" w:line="252" w:lineRule="auto"/>
              <w:ind w:left="57" w:right="57"/>
              <w:rPr>
                <w:b/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:rsidR="00D04191" w:rsidRDefault="00D04191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Novembre</w:t>
            </w:r>
          </w:p>
          <w:p w:rsidR="007808C0" w:rsidRDefault="00D04191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Dicembre</w:t>
            </w:r>
            <w:r w:rsidR="004E4E4B">
              <w:rPr>
                <w:w w:val="105"/>
                <w:lang w:val="it-IT"/>
              </w:rPr>
              <w:t xml:space="preserve"> </w:t>
            </w:r>
            <w:r w:rsidR="000D73BB">
              <w:rPr>
                <w:w w:val="105"/>
                <w:lang w:val="it-IT"/>
              </w:rPr>
              <w:t xml:space="preserve"> </w:t>
            </w:r>
          </w:p>
          <w:p w:rsidR="000D73BB" w:rsidRPr="00ED5097" w:rsidRDefault="000D73BB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</w:t>
            </w:r>
          </w:p>
          <w:p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</w:tc>
      </w:tr>
    </w:tbl>
    <w:p w:rsidR="00ED5097" w:rsidRDefault="00ED5097" w:rsidP="00ED5097"/>
    <w:p w:rsidR="00ED5097" w:rsidRDefault="00ED5097" w:rsidP="00ED5097"/>
    <w:p w:rsidR="00ED5097" w:rsidRDefault="00ED5097"/>
    <w:p w:rsidR="00ED5097" w:rsidRDefault="00ED5097"/>
    <w:p w:rsidR="00ED5097" w:rsidRDefault="00ED5097"/>
    <w:p w:rsidR="00ED5097" w:rsidRDefault="00ED5097"/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A6D90" w:rsidP="00ED5097">
      <w:pPr>
        <w:rPr>
          <w:b/>
        </w:rPr>
      </w:pPr>
      <w:r>
        <w:rPr>
          <w:b/>
        </w:rPr>
        <w:t>I</w:t>
      </w:r>
      <w:r w:rsidR="00AC25D8">
        <w:rPr>
          <w:b/>
        </w:rPr>
        <w:t xml:space="preserve"> Quadrimestre</w:t>
      </w:r>
    </w:p>
    <w:p w:rsidR="00AC25D8" w:rsidRDefault="00AC25D8" w:rsidP="00ED5097">
      <w:pPr>
        <w:rPr>
          <w:b/>
        </w:rPr>
      </w:pPr>
    </w:p>
    <w:p w:rsidR="00AC25D8" w:rsidRDefault="00AC25D8" w:rsidP="00ED5097">
      <w:pPr>
        <w:rPr>
          <w:b/>
        </w:rPr>
      </w:pPr>
      <w:r>
        <w:rPr>
          <w:b/>
        </w:rPr>
        <w:t xml:space="preserve">Unità di </w:t>
      </w:r>
      <w:r w:rsidR="00BA6D90">
        <w:rPr>
          <w:b/>
        </w:rPr>
        <w:t>apprendimento II</w:t>
      </w:r>
      <w:r w:rsidR="0016787D">
        <w:rPr>
          <w:b/>
        </w:rPr>
        <w:t>: I diversamente abili</w:t>
      </w:r>
    </w:p>
    <w:p w:rsidR="00ED5097" w:rsidRPr="00ED5097" w:rsidRDefault="00ED5097" w:rsidP="00F96CD9">
      <w:pPr>
        <w:jc w:val="center"/>
        <w:rPr>
          <w:b/>
        </w:rPr>
      </w:pPr>
    </w:p>
    <w:p w:rsidR="00ED5097" w:rsidRDefault="00ED5097" w:rsidP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931C06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931C06">
        <w:trPr>
          <w:trHeight w:val="10714"/>
          <w:jc w:val="center"/>
        </w:trPr>
        <w:tc>
          <w:tcPr>
            <w:tcW w:w="2410" w:type="dxa"/>
          </w:tcPr>
          <w:p w:rsidR="0016787D" w:rsidRPr="00E349FB" w:rsidRDefault="0016787D" w:rsidP="0016787D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Prendersi cura e collaborare al soddisfacimento dei bisogni di base dei bambini, persone con disabilità, anziani nell’espletamento delle più comuni attività quotidiane</w:t>
            </w:r>
          </w:p>
          <w:p w:rsidR="0016787D" w:rsidRPr="00E349FB" w:rsidRDefault="0016787D" w:rsidP="0016787D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Pr="007A7588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F41260" w:rsidRPr="00E349FB" w:rsidRDefault="00F41260" w:rsidP="00F41260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E35569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Riconoscere le tipologie di disabilità</w:t>
            </w:r>
          </w:p>
          <w:p w:rsidR="00E35569" w:rsidRDefault="00E35569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Intervenire nel monitoraggio e nella rilevazione dello stato di salute psico-fisica dell’autonomia dell’utente</w:t>
            </w: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Pr="00ED5097" w:rsidRDefault="00F41260" w:rsidP="00F41260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F41260" w:rsidRPr="00E349FB" w:rsidRDefault="00F41260" w:rsidP="00D652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F41260" w:rsidRPr="00E349FB" w:rsidRDefault="00F4126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:rsidR="00F41260" w:rsidRPr="00F41260" w:rsidRDefault="00F41260" w:rsidP="00F41260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F41260">
              <w:rPr>
                <w:b/>
                <w:w w:val="105"/>
                <w:lang w:val="it-IT"/>
              </w:rPr>
              <w:t>Conoscenze</w:t>
            </w:r>
          </w:p>
          <w:p w:rsidR="00DE7CF1" w:rsidRDefault="00E35569" w:rsidP="00DE7CF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Evoluzione dei concetti di disabilità, handicap e deficit</w:t>
            </w:r>
          </w:p>
          <w:p w:rsidR="00DE7CF1" w:rsidRPr="00185DF7" w:rsidRDefault="00E35569" w:rsidP="00DE7CF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Tipi e cause di disabilità e le sue classificazioni</w:t>
            </w:r>
          </w:p>
          <w:p w:rsidR="00AF55D6" w:rsidRDefault="00AF55D6" w:rsidP="00DE7CF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433DE" w:rsidRPr="00ED5097" w:rsidRDefault="008433DE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F41260" w:rsidRDefault="00F4126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:rsidR="00F41260" w:rsidRPr="00E349FB" w:rsidRDefault="00F41260" w:rsidP="00F41260">
            <w:pPr>
              <w:rPr>
                <w:lang w:val="it-IT"/>
              </w:rPr>
            </w:pPr>
          </w:p>
          <w:p w:rsidR="00F41260" w:rsidRPr="00E349FB" w:rsidRDefault="00F41260" w:rsidP="00F41260">
            <w:pPr>
              <w:rPr>
                <w:b/>
                <w:lang w:val="it-IT"/>
              </w:rPr>
            </w:pPr>
          </w:p>
          <w:p w:rsidR="00F41260" w:rsidRDefault="00F41260" w:rsidP="00F41260">
            <w:pPr>
              <w:jc w:val="center"/>
              <w:rPr>
                <w:b/>
                <w:lang w:val="it-IT"/>
              </w:rPr>
            </w:pPr>
            <w:r w:rsidRPr="00E349FB">
              <w:rPr>
                <w:b/>
                <w:lang w:val="it-IT"/>
              </w:rPr>
              <w:t>Contenuti</w:t>
            </w:r>
          </w:p>
          <w:p w:rsidR="00287F7E" w:rsidRDefault="00287F7E" w:rsidP="00281F30">
            <w:pPr>
              <w:rPr>
                <w:lang w:val="it-IT"/>
              </w:rPr>
            </w:pPr>
            <w:r>
              <w:rPr>
                <w:lang w:val="it-IT"/>
              </w:rPr>
              <w:t>Definire e conoscere la disabilità</w:t>
            </w:r>
          </w:p>
          <w:p w:rsidR="00506702" w:rsidRDefault="00287F7E" w:rsidP="00281F30">
            <w:pPr>
              <w:rPr>
                <w:lang w:val="it-IT"/>
              </w:rPr>
            </w:pPr>
            <w:r>
              <w:rPr>
                <w:lang w:val="it-IT"/>
              </w:rPr>
              <w:t>Le disabilità intellettive</w:t>
            </w:r>
          </w:p>
          <w:p w:rsidR="00287F7E" w:rsidRDefault="00287F7E" w:rsidP="00281F30">
            <w:pPr>
              <w:rPr>
                <w:lang w:val="it-IT"/>
              </w:rPr>
            </w:pPr>
            <w:r>
              <w:rPr>
                <w:lang w:val="it-IT"/>
              </w:rPr>
              <w:t xml:space="preserve"> I comportamenti problema</w:t>
            </w:r>
          </w:p>
          <w:p w:rsidR="00287F7E" w:rsidRDefault="00287F7E" w:rsidP="00281F30">
            <w:pPr>
              <w:rPr>
                <w:lang w:val="it-IT"/>
              </w:rPr>
            </w:pPr>
            <w:r>
              <w:rPr>
                <w:lang w:val="it-IT"/>
              </w:rPr>
              <w:t>La sindrome di Down</w:t>
            </w:r>
          </w:p>
          <w:p w:rsidR="00FB11FC" w:rsidRPr="00E349FB" w:rsidRDefault="00287F7E" w:rsidP="00F41260">
            <w:pPr>
              <w:rPr>
                <w:lang w:val="it-IT"/>
              </w:rPr>
            </w:pPr>
            <w:r>
              <w:rPr>
                <w:lang w:val="it-IT"/>
              </w:rPr>
              <w:t>Le disabilità sensoriali</w:t>
            </w:r>
          </w:p>
          <w:p w:rsidR="00C22781" w:rsidRPr="00E349FB" w:rsidRDefault="00C22781" w:rsidP="00F41260">
            <w:pPr>
              <w:rPr>
                <w:lang w:val="it-IT"/>
              </w:rPr>
            </w:pPr>
          </w:p>
          <w:p w:rsidR="00F41260" w:rsidRPr="00E349FB" w:rsidRDefault="00F41260" w:rsidP="00F41260">
            <w:pPr>
              <w:rPr>
                <w:lang w:val="it-IT"/>
              </w:rPr>
            </w:pPr>
          </w:p>
        </w:tc>
        <w:tc>
          <w:tcPr>
            <w:tcW w:w="1970" w:type="dxa"/>
          </w:tcPr>
          <w:p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:rsidR="007808C0" w:rsidRDefault="0048100A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Dicembre</w:t>
            </w:r>
          </w:p>
          <w:p w:rsidR="0048100A" w:rsidRDefault="0048100A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Gennaio</w:t>
            </w:r>
          </w:p>
          <w:p w:rsidR="0057271B" w:rsidRDefault="0057271B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:rsidR="000D73BB" w:rsidRPr="00ED5097" w:rsidRDefault="000D73BB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</w:tc>
      </w:tr>
    </w:tbl>
    <w:p w:rsidR="00ED5097" w:rsidRDefault="00ED5097" w:rsidP="00ED5097"/>
    <w:p w:rsidR="00ED5097" w:rsidRDefault="00ED5097" w:rsidP="00ED5097"/>
    <w:p w:rsidR="00ED5097" w:rsidRDefault="00ED5097" w:rsidP="00ED5097"/>
    <w:p w:rsidR="00ED5097" w:rsidRDefault="00ED5097"/>
    <w:p w:rsidR="00ED5097" w:rsidRDefault="00ED5097"/>
    <w:p w:rsidR="00ED5097" w:rsidRDefault="00ED5097"/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5233E3" w:rsidRDefault="00ED5097" w:rsidP="00ED5097">
      <w:pPr>
        <w:rPr>
          <w:b/>
        </w:rPr>
      </w:pPr>
      <w:r>
        <w:rPr>
          <w:b/>
        </w:rPr>
        <w:t xml:space="preserve">   I</w:t>
      </w:r>
      <w:r w:rsidR="00867DB4">
        <w:rPr>
          <w:b/>
        </w:rPr>
        <w:t>I Quadrimestre</w:t>
      </w:r>
    </w:p>
    <w:p w:rsidR="00ED5097" w:rsidRPr="00ED5097" w:rsidRDefault="00867DB4" w:rsidP="00ED5097">
      <w:pPr>
        <w:rPr>
          <w:b/>
        </w:rPr>
      </w:pPr>
      <w:r>
        <w:rPr>
          <w:b/>
        </w:rPr>
        <w:t>Unità di apprendimento</w:t>
      </w:r>
      <w:r w:rsidR="00B616EF">
        <w:rPr>
          <w:b/>
        </w:rPr>
        <w:t xml:space="preserve"> III</w:t>
      </w:r>
      <w:r w:rsidR="00287F7E">
        <w:rPr>
          <w:b/>
        </w:rPr>
        <w:t>: Il disagio psichico</w:t>
      </w:r>
    </w:p>
    <w:p w:rsidR="00ED5097" w:rsidRDefault="00ED5097" w:rsidP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931C06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931C06">
        <w:trPr>
          <w:trHeight w:val="10714"/>
          <w:jc w:val="center"/>
        </w:trPr>
        <w:tc>
          <w:tcPr>
            <w:tcW w:w="2410" w:type="dxa"/>
          </w:tcPr>
          <w:p w:rsidR="007515EA" w:rsidRPr="00E349FB" w:rsidRDefault="007515EA" w:rsidP="007515EA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Pr="00E349FB" w:rsidRDefault="006F23EF" w:rsidP="006F23E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 xml:space="preserve"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 </w:t>
            </w:r>
          </w:p>
          <w:p w:rsidR="006F23EF" w:rsidRPr="00E349FB" w:rsidRDefault="006F23EF" w:rsidP="006F23E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6F23E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Pr="006F23EF" w:rsidRDefault="00DC66EE" w:rsidP="00DC66EE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>
              <w:rPr>
                <w:lang w:val="it-IT"/>
              </w:rPr>
              <w:t xml:space="preserve">Realizzare in collaborazione con altre figure professionali, azioni a sostegno e a tutela della persona con fragilità </w:t>
            </w:r>
            <w:proofErr w:type="spellStart"/>
            <w:r>
              <w:rPr>
                <w:lang w:val="it-IT"/>
              </w:rPr>
              <w:t>e|o</w:t>
            </w:r>
            <w:proofErr w:type="spellEnd"/>
            <w:r>
              <w:rPr>
                <w:lang w:val="it-IT"/>
              </w:rPr>
              <w:t xml:space="preserve"> disabilità e della sua famiglia, per favorire l’integrazione e migliorare o salvaguardare la qualità della vita</w:t>
            </w:r>
          </w:p>
          <w:p w:rsidR="006F23EF" w:rsidRDefault="006F23EF" w:rsidP="006F23E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808C0" w:rsidRPr="00E349FB" w:rsidRDefault="007808C0" w:rsidP="006F23EF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7515EA" w:rsidRPr="00E349FB" w:rsidRDefault="007515EA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515EA" w:rsidRDefault="007515EA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Pr="006F23EF" w:rsidRDefault="001305A0" w:rsidP="001305A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1305A0" w:rsidRPr="00E349FB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C22781" w:rsidRDefault="00C22781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22781" w:rsidRPr="00C22781" w:rsidRDefault="00FA4459" w:rsidP="00C22781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Intervenire nel monitoraggio e nella rilevazione dello stato di salute psico-fisica e dell’autonomia dell’utente</w:t>
            </w:r>
            <w:r w:rsidR="00FB514C" w:rsidRPr="00C22781">
              <w:rPr>
                <w:lang w:val="it-IT"/>
              </w:rPr>
              <w:t xml:space="preserve"> </w:t>
            </w:r>
          </w:p>
          <w:p w:rsidR="00C22781" w:rsidRDefault="00C22781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22781" w:rsidRDefault="00C22781" w:rsidP="00C22781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Default="00DC66EE" w:rsidP="00DC66EE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C66EE" w:rsidRPr="00DC66EE" w:rsidRDefault="00DC66EE" w:rsidP="00DC66EE"/>
          <w:p w:rsidR="00DC66EE" w:rsidRPr="00DC66EE" w:rsidRDefault="00DC66EE" w:rsidP="00DC66EE"/>
          <w:p w:rsidR="00DC66EE" w:rsidRPr="00DC66EE" w:rsidRDefault="00DC66EE" w:rsidP="00DC66EE"/>
          <w:p w:rsidR="00DC66EE" w:rsidRDefault="00DC66EE" w:rsidP="00DC66EE"/>
          <w:p w:rsidR="007808C0" w:rsidRPr="00DC66EE" w:rsidRDefault="00DC66EE" w:rsidP="00DC66EE">
            <w:r>
              <w:rPr>
                <w:lang w:val="it-IT"/>
              </w:rPr>
              <w:t>Identificare le caratteristiche multifattoriali e multidimensionali della condizione di benessere psico-fisico-sociale</w:t>
            </w:r>
          </w:p>
        </w:tc>
        <w:tc>
          <w:tcPr>
            <w:tcW w:w="3043" w:type="dxa"/>
          </w:tcPr>
          <w:p w:rsidR="007808C0" w:rsidRPr="007515EA" w:rsidRDefault="007515EA" w:rsidP="007515EA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Conoscenze</w:t>
            </w: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Tipologia dei servizi sociali, socio-educativi, sanitari e socio-sanitari</w:t>
            </w:r>
          </w:p>
          <w:p w:rsidR="00FC70F9" w:rsidRPr="00ED5097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Pr="00ED5097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Pr="00ED5097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Pr="00ED5097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Pr="00ED5097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La salute come benessere </w:t>
            </w:r>
            <w:proofErr w:type="spellStart"/>
            <w:r>
              <w:rPr>
                <w:w w:val="105"/>
                <w:lang w:val="it-IT"/>
              </w:rPr>
              <w:t>bio</w:t>
            </w:r>
            <w:proofErr w:type="spellEnd"/>
            <w:r>
              <w:rPr>
                <w:w w:val="105"/>
                <w:lang w:val="it-IT"/>
              </w:rPr>
              <w:t>-</w:t>
            </w:r>
            <w:proofErr w:type="spellStart"/>
            <w:r>
              <w:rPr>
                <w:w w:val="105"/>
                <w:lang w:val="it-IT"/>
              </w:rPr>
              <w:t>psico</w:t>
            </w:r>
            <w:proofErr w:type="spellEnd"/>
            <w:r>
              <w:rPr>
                <w:w w:val="105"/>
                <w:lang w:val="it-IT"/>
              </w:rPr>
              <w:t>-sociale e le sue caratteristiche multifattoriali e multidimensionali</w:t>
            </w: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Pr="00ED5097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FC70F9" w:rsidRPr="007515EA" w:rsidRDefault="00FC70F9" w:rsidP="00FC70F9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Contenuti</w:t>
            </w:r>
          </w:p>
          <w:p w:rsidR="00FC70F9" w:rsidRDefault="00FC70F9" w:rsidP="00FC70F9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Definire e classificare la malattia mentale</w:t>
            </w:r>
          </w:p>
          <w:p w:rsidR="00206511" w:rsidRDefault="00FC70F9" w:rsidP="00FC70F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  disturbi psichici</w:t>
            </w:r>
          </w:p>
          <w:p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515EA" w:rsidRPr="00ED5097" w:rsidRDefault="007515E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206511" w:rsidRPr="00FC70F9" w:rsidRDefault="00206511" w:rsidP="00FC70F9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</w:p>
          <w:p w:rsidR="001A7ADB" w:rsidRDefault="001A7ADB" w:rsidP="00206511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7515EA" w:rsidRPr="00ED5097" w:rsidRDefault="007515EA" w:rsidP="00931C06">
            <w:pPr>
              <w:pStyle w:val="TableParagraph"/>
              <w:spacing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Default="007A76EA" w:rsidP="003B31F5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Febbraio</w:t>
            </w:r>
          </w:p>
          <w:p w:rsidR="003B31F5" w:rsidRDefault="007A76EA" w:rsidP="003B31F5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Marzo</w:t>
            </w:r>
          </w:p>
          <w:p w:rsidR="00393F40" w:rsidRPr="003B31F5" w:rsidRDefault="00393F40" w:rsidP="003B31F5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</w:tc>
      </w:tr>
    </w:tbl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F96CD9" w:rsidRDefault="00F96CD9" w:rsidP="00F96CD9"/>
    <w:p w:rsidR="00F96CD9" w:rsidRDefault="00F96CD9" w:rsidP="00F96CD9"/>
    <w:p w:rsidR="00F96CD9" w:rsidRDefault="00F96CD9" w:rsidP="00F96CD9"/>
    <w:p w:rsidR="00F96CD9" w:rsidRDefault="00F96CD9"/>
    <w:p w:rsidR="00F96CD9" w:rsidRDefault="00F96CD9"/>
    <w:p w:rsidR="00F96CD9" w:rsidRDefault="00F96CD9"/>
    <w:p w:rsidR="00552C25" w:rsidRDefault="00552C25" w:rsidP="00552C25">
      <w:pPr>
        <w:rPr>
          <w:b/>
        </w:rPr>
      </w:pPr>
      <w:r>
        <w:rPr>
          <w:b/>
        </w:rPr>
        <w:t xml:space="preserve">   II Quadrimestre</w:t>
      </w:r>
    </w:p>
    <w:p w:rsidR="00552C25" w:rsidRPr="00ED5097" w:rsidRDefault="00191801" w:rsidP="00552C25">
      <w:pPr>
        <w:rPr>
          <w:b/>
        </w:rPr>
      </w:pPr>
      <w:r>
        <w:rPr>
          <w:b/>
        </w:rPr>
        <w:t xml:space="preserve">Unità di apprendimento </w:t>
      </w:r>
      <w:r w:rsidR="00316C7C">
        <w:rPr>
          <w:b/>
        </w:rPr>
        <w:t>I</w:t>
      </w:r>
      <w:r>
        <w:rPr>
          <w:b/>
        </w:rPr>
        <w:t>V: Gli anziani</w:t>
      </w:r>
    </w:p>
    <w:p w:rsidR="00552C25" w:rsidRDefault="00552C25" w:rsidP="00552C25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552C25" w:rsidTr="00A0579B">
        <w:trPr>
          <w:trHeight w:val="431"/>
          <w:jc w:val="center"/>
        </w:trPr>
        <w:tc>
          <w:tcPr>
            <w:tcW w:w="2410" w:type="dxa"/>
          </w:tcPr>
          <w:p w:rsidR="00552C25" w:rsidRPr="007808C0" w:rsidRDefault="00552C25" w:rsidP="00A0579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552C25" w:rsidRDefault="00552C25" w:rsidP="00A0579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552C25" w:rsidRPr="00FA2769" w:rsidRDefault="00552C25" w:rsidP="00A0579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552C25" w:rsidRPr="00FA2769" w:rsidRDefault="00552C25" w:rsidP="00A0579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552C25" w:rsidRPr="001D52B4" w:rsidRDefault="00552C25" w:rsidP="00A0579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552C25" w:rsidTr="00A0579B">
        <w:trPr>
          <w:trHeight w:val="10714"/>
          <w:jc w:val="center"/>
        </w:trPr>
        <w:tc>
          <w:tcPr>
            <w:tcW w:w="2410" w:type="dxa"/>
          </w:tcPr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 xml:space="preserve"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 </w:t>
            </w:r>
          </w:p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Pr="006F23EF" w:rsidRDefault="00DF4BD0" w:rsidP="00A0579B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>
              <w:rPr>
                <w:lang w:val="it-IT"/>
              </w:rPr>
              <w:t>Prendersi cura e collaborare al soddisfacimento dei bisogni di base dei bambini, persone con disabilità, anziani nell’espletamento delle più comuni attività quotidiane</w:t>
            </w:r>
          </w:p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Pr="00C22781" w:rsidRDefault="00552C25" w:rsidP="00A0579B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Individuare le opportunità offerte dal territorio per rispondere ai bisogni sociali e socio-sanitari</w:t>
            </w:r>
            <w:r w:rsidRPr="00C22781">
              <w:rPr>
                <w:lang w:val="it-IT"/>
              </w:rPr>
              <w:t xml:space="preserve"> </w:t>
            </w: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Default="006F23EF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6F23EF" w:rsidRPr="00E349FB" w:rsidRDefault="00DF4BD0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Intervenire nel monitoraggio e nella rilevazione dello stato di salute psico-fisica e dell’autonomia dell’utente</w:t>
            </w:r>
          </w:p>
        </w:tc>
        <w:tc>
          <w:tcPr>
            <w:tcW w:w="3043" w:type="dxa"/>
          </w:tcPr>
          <w:p w:rsidR="00552C25" w:rsidRPr="007515EA" w:rsidRDefault="00552C25" w:rsidP="00A0579B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Conoscenze</w:t>
            </w:r>
          </w:p>
          <w:p w:rsidR="00552C25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Tipologia dei servizi sociali, socio-educativi, sanitari e socio-sanitari</w:t>
            </w: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DC66EE" w:rsidRDefault="00DC66EE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DC66EE" w:rsidRDefault="00DF4BD0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Il processo di invecchiamento e le sue conseguenze sull’autonomia e il benessere psico-fisico dell’anziano</w:t>
            </w:r>
          </w:p>
          <w:p w:rsidR="00CB0364" w:rsidRDefault="00DF4BD0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principali patologie invalidanti legate all’invecchiamento</w:t>
            </w: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B0364" w:rsidRDefault="00CB0364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DC66EE" w:rsidRPr="00ED5097" w:rsidRDefault="00DC66EE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7515EA" w:rsidRDefault="00552C25" w:rsidP="00A0579B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Contenuti</w:t>
            </w:r>
          </w:p>
          <w:p w:rsidR="00DF4BD0" w:rsidRDefault="00DF4BD0" w:rsidP="00A057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Gli indicatori della vecchiaia</w:t>
            </w:r>
          </w:p>
          <w:p w:rsidR="000B6924" w:rsidRDefault="00DF4BD0" w:rsidP="00DF4BD0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Gli anziani e la demenza</w:t>
            </w:r>
          </w:p>
          <w:p w:rsidR="00552C25" w:rsidRDefault="00552C25" w:rsidP="000B6924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552C25" w:rsidRDefault="00CF0408" w:rsidP="00A0579B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Marzo</w:t>
            </w:r>
          </w:p>
          <w:p w:rsidR="00552C25" w:rsidRPr="003B31F5" w:rsidRDefault="00CF0408" w:rsidP="00A0579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lang w:val="it-IT"/>
              </w:rPr>
              <w:t>Aprile</w:t>
            </w:r>
          </w:p>
          <w:p w:rsidR="00552C25" w:rsidRPr="00ED5097" w:rsidRDefault="00552C25" w:rsidP="00A0579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</w:tc>
      </w:tr>
    </w:tbl>
    <w:p w:rsidR="00F96CD9" w:rsidRDefault="00F96CD9"/>
    <w:p w:rsidR="00F96CD9" w:rsidRDefault="00F96CD9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 w:rsidP="00886CA3">
      <w:pPr>
        <w:rPr>
          <w:b/>
        </w:rPr>
      </w:pPr>
      <w:r>
        <w:rPr>
          <w:b/>
        </w:rPr>
        <w:t xml:space="preserve">   II Quadrimestre</w:t>
      </w:r>
    </w:p>
    <w:p w:rsidR="00886CA3" w:rsidRPr="00ED5097" w:rsidRDefault="006460A3" w:rsidP="00886CA3">
      <w:pPr>
        <w:rPr>
          <w:b/>
        </w:rPr>
      </w:pPr>
      <w:r>
        <w:rPr>
          <w:b/>
        </w:rPr>
        <w:t>Unità di apprendimento V</w:t>
      </w:r>
      <w:r w:rsidR="00886CA3">
        <w:rPr>
          <w:b/>
        </w:rPr>
        <w:t>: Le dipendenze</w:t>
      </w:r>
    </w:p>
    <w:p w:rsidR="00886CA3" w:rsidRDefault="00886CA3" w:rsidP="00886CA3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886CA3" w:rsidTr="00603F85">
        <w:trPr>
          <w:trHeight w:val="431"/>
          <w:jc w:val="center"/>
        </w:trPr>
        <w:tc>
          <w:tcPr>
            <w:tcW w:w="2410" w:type="dxa"/>
          </w:tcPr>
          <w:p w:rsidR="00886CA3" w:rsidRPr="007808C0" w:rsidRDefault="00886CA3" w:rsidP="00603F85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886CA3" w:rsidRPr="00FA2769" w:rsidRDefault="00886CA3" w:rsidP="00603F8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886CA3" w:rsidRPr="00FA2769" w:rsidRDefault="00886CA3" w:rsidP="00603F8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86CA3" w:rsidRPr="001D52B4" w:rsidRDefault="00886CA3" w:rsidP="00603F85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886CA3" w:rsidTr="00603F85">
        <w:trPr>
          <w:trHeight w:val="10714"/>
          <w:jc w:val="center"/>
        </w:trPr>
        <w:tc>
          <w:tcPr>
            <w:tcW w:w="2410" w:type="dxa"/>
          </w:tcPr>
          <w:p w:rsidR="00886CA3" w:rsidRPr="00E349FB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Pr="00E349FB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 xml:space="preserve">Collaborare nella gestione di progetti e attività dei servizi sociali, socio-sanitari e socio-educativi, rivolti a bambini e adolescenti, persone con disabilità, anziani, minori a rischio, soggetti con disagio psico-sociale e altri soggetti in situazione di svantaggio, anche attraverso lo sviluppo di reti territoriali formali e informali </w:t>
            </w:r>
          </w:p>
          <w:p w:rsidR="00886CA3" w:rsidRPr="00E349FB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Pr="006F23EF" w:rsidRDefault="00886CA3" w:rsidP="00603F85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886CA3" w:rsidRPr="00E349FB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Pr="00C22781" w:rsidRDefault="00886CA3" w:rsidP="00603F85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Individuare le opportunità offerte dal territorio per rispondere ai bisogni sociali e socio-sanitari</w:t>
            </w:r>
            <w:r w:rsidRPr="00C22781">
              <w:rPr>
                <w:lang w:val="it-IT"/>
              </w:rPr>
              <w:t xml:space="preserve"> </w:t>
            </w: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86CA3" w:rsidRPr="00E349FB" w:rsidRDefault="00886CA3" w:rsidP="00886CA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3043" w:type="dxa"/>
          </w:tcPr>
          <w:p w:rsidR="00886CA3" w:rsidRPr="007515EA" w:rsidRDefault="00886CA3" w:rsidP="00603F85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Conoscenze</w:t>
            </w: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Tipologia dei servizi sociali, socio-educativi, sanitari e socio-sanitari</w:t>
            </w:r>
          </w:p>
          <w:p w:rsidR="00886CA3" w:rsidRPr="00ED5097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Pr="00ED5097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Pr="00ED5097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Pr="00ED5097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Pr="00ED5097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86CA3" w:rsidRPr="007515EA" w:rsidRDefault="00886CA3" w:rsidP="00603F85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C</w:t>
            </w:r>
            <w:r w:rsidRPr="007515EA">
              <w:rPr>
                <w:b/>
                <w:w w:val="105"/>
                <w:lang w:val="it-IT"/>
              </w:rPr>
              <w:t>ontenuti</w:t>
            </w:r>
          </w:p>
          <w:p w:rsidR="00886CA3" w:rsidRDefault="00886CA3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dipendenza dalla droga</w:t>
            </w:r>
          </w:p>
          <w:p w:rsidR="00886CA3" w:rsidRDefault="00886CA3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dipendenza dall’alcol</w:t>
            </w:r>
          </w:p>
          <w:p w:rsidR="00886CA3" w:rsidRDefault="00886CA3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886CA3" w:rsidRPr="00ED5097" w:rsidRDefault="00886CA3" w:rsidP="00603F85">
            <w:pPr>
              <w:pStyle w:val="TableParagraph"/>
              <w:spacing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886CA3" w:rsidRDefault="00471051" w:rsidP="00603F85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Aprile</w:t>
            </w:r>
          </w:p>
          <w:p w:rsidR="00886CA3" w:rsidRPr="003B31F5" w:rsidRDefault="00471051" w:rsidP="00603F85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lang w:val="it-IT"/>
              </w:rPr>
              <w:t>Maggio</w:t>
            </w:r>
          </w:p>
          <w:p w:rsidR="00886CA3" w:rsidRPr="00ED5097" w:rsidRDefault="00886CA3" w:rsidP="00603F85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886CA3" w:rsidRDefault="00886CA3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886CA3" w:rsidRPr="008D63C8" w:rsidRDefault="00886CA3" w:rsidP="00603F85">
            <w:pPr>
              <w:jc w:val="right"/>
            </w:pPr>
          </w:p>
          <w:p w:rsidR="00886CA3" w:rsidRPr="008D63C8" w:rsidRDefault="00886CA3" w:rsidP="00603F85">
            <w:pPr>
              <w:jc w:val="right"/>
            </w:pPr>
          </w:p>
          <w:p w:rsidR="00886CA3" w:rsidRPr="008D63C8" w:rsidRDefault="00886CA3" w:rsidP="00603F85">
            <w:pPr>
              <w:jc w:val="right"/>
            </w:pPr>
          </w:p>
          <w:p w:rsidR="00886CA3" w:rsidRPr="008D63C8" w:rsidRDefault="00886CA3" w:rsidP="00603F85">
            <w:pPr>
              <w:jc w:val="right"/>
            </w:pPr>
          </w:p>
          <w:p w:rsidR="00886CA3" w:rsidRPr="008D63C8" w:rsidRDefault="00886CA3" w:rsidP="00603F85">
            <w:pPr>
              <w:jc w:val="right"/>
            </w:pPr>
          </w:p>
        </w:tc>
      </w:tr>
    </w:tbl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886CA3" w:rsidRDefault="00886CA3"/>
    <w:p w:rsidR="007A7588" w:rsidRDefault="007A7588"/>
    <w:p w:rsidR="007A7588" w:rsidRDefault="007A7588"/>
    <w:p w:rsidR="007A7588" w:rsidRDefault="007A7588" w:rsidP="007A7588">
      <w:pPr>
        <w:rPr>
          <w:b/>
        </w:rPr>
      </w:pPr>
      <w:r>
        <w:rPr>
          <w:b/>
        </w:rPr>
        <w:lastRenderedPageBreak/>
        <w:t xml:space="preserve">   II Quadrimestre</w:t>
      </w:r>
    </w:p>
    <w:p w:rsidR="007A7588" w:rsidRPr="00ED5097" w:rsidRDefault="005B3A99" w:rsidP="007A7588">
      <w:pPr>
        <w:rPr>
          <w:b/>
        </w:rPr>
      </w:pPr>
      <w:r>
        <w:rPr>
          <w:b/>
        </w:rPr>
        <w:t>Unità di apprendimento VI</w:t>
      </w:r>
      <w:r w:rsidR="007A7588">
        <w:rPr>
          <w:b/>
        </w:rPr>
        <w:t>: La famiglia e le sue difficoltà</w:t>
      </w:r>
    </w:p>
    <w:p w:rsidR="007A7588" w:rsidRDefault="007A7588" w:rsidP="007A7588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A7588" w:rsidTr="00603F85">
        <w:trPr>
          <w:trHeight w:val="431"/>
          <w:jc w:val="center"/>
        </w:trPr>
        <w:tc>
          <w:tcPr>
            <w:tcW w:w="2410" w:type="dxa"/>
          </w:tcPr>
          <w:p w:rsidR="007A7588" w:rsidRPr="007808C0" w:rsidRDefault="007A7588" w:rsidP="00603F85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A7588" w:rsidRDefault="007A7588" w:rsidP="00603F8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A7588" w:rsidRPr="00FA2769" w:rsidRDefault="007A7588" w:rsidP="00603F8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A7588" w:rsidRPr="00FA2769" w:rsidRDefault="007A7588" w:rsidP="00603F8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A7588" w:rsidRPr="001D52B4" w:rsidRDefault="007A7588" w:rsidP="00603F85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A7588" w:rsidTr="00603F85">
        <w:trPr>
          <w:trHeight w:val="10714"/>
          <w:jc w:val="center"/>
        </w:trPr>
        <w:tc>
          <w:tcPr>
            <w:tcW w:w="2410" w:type="dxa"/>
          </w:tcPr>
          <w:p w:rsidR="007A7588" w:rsidRPr="00E349FB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224D6E" w:rsidRPr="006F23EF" w:rsidRDefault="00224D6E" w:rsidP="00224D6E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>
              <w:rPr>
                <w:lang w:val="it-IT"/>
              </w:rPr>
              <w:t xml:space="preserve">Realizzare in collaborazione con altre figure professionali, azioni a sostegno e a tutela della persona con fragilità </w:t>
            </w:r>
            <w:proofErr w:type="spellStart"/>
            <w:r>
              <w:rPr>
                <w:lang w:val="it-IT"/>
              </w:rPr>
              <w:t>e|o</w:t>
            </w:r>
            <w:proofErr w:type="spellEnd"/>
            <w:r>
              <w:rPr>
                <w:lang w:val="it-IT"/>
              </w:rPr>
              <w:t xml:space="preserve"> disabilità e della sua famiglia, per favorire l’integrazione e migliorare o salvaguardare la qualità della vita</w:t>
            </w:r>
          </w:p>
          <w:p w:rsidR="007A7588" w:rsidRPr="00E349FB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Pr="00E349FB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Pr="006F23EF" w:rsidRDefault="007A7588" w:rsidP="00603F85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7A7588" w:rsidRPr="00E349FB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Pr="00C22781" w:rsidRDefault="00224D6E" w:rsidP="00603F85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Cogliere i bisogni e le problematiche specifiche del minore, dell’anziano, delle persone con disabilità, con disagio psichico, dei nuclei familiari, degli immigrati e4 di particolari categorie svantaggiate</w:t>
            </w:r>
            <w:r w:rsidR="007A7588" w:rsidRPr="00C22781">
              <w:rPr>
                <w:lang w:val="it-IT"/>
              </w:rPr>
              <w:t xml:space="preserve"> </w:t>
            </w: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A7588" w:rsidRPr="00E349FB" w:rsidRDefault="007A7588" w:rsidP="00603F85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3043" w:type="dxa"/>
          </w:tcPr>
          <w:p w:rsidR="007A7588" w:rsidRPr="007515EA" w:rsidRDefault="007A7588" w:rsidP="00603F85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Conoscenze</w:t>
            </w:r>
          </w:p>
          <w:p w:rsidR="007A7588" w:rsidRDefault="00224D6E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Approcci psicologici e psicoterapeutici e modalità di intervento socio-assistenziale riguardanti nuclei familiari, minori , anziani, persone con disabilità, con disagio psichico, immigrati e particolari categorie svantaggiate</w:t>
            </w:r>
          </w:p>
          <w:p w:rsidR="007A7588" w:rsidRPr="00ED5097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Pr="00ED5097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Pr="00ED5097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Pr="00ED5097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Pr="00ED5097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A7588" w:rsidRPr="007515EA" w:rsidRDefault="007A7588" w:rsidP="00603F85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C</w:t>
            </w:r>
            <w:r w:rsidRPr="007515EA">
              <w:rPr>
                <w:b/>
                <w:w w:val="105"/>
                <w:lang w:val="it-IT"/>
              </w:rPr>
              <w:t>ontenuti</w:t>
            </w:r>
          </w:p>
          <w:p w:rsidR="007A7588" w:rsidRDefault="00224D6E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famiglia multiproblematica</w:t>
            </w:r>
          </w:p>
          <w:p w:rsidR="007A7588" w:rsidRDefault="00224D6E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situazioni che possono destabilizzare la famiglia</w:t>
            </w:r>
          </w:p>
          <w:p w:rsidR="007A7588" w:rsidRDefault="007A7588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7A7588" w:rsidRDefault="007A7588" w:rsidP="00603F85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7A7588" w:rsidRPr="00ED5097" w:rsidRDefault="007A7588" w:rsidP="00603F85">
            <w:pPr>
              <w:pStyle w:val="TableParagraph"/>
              <w:spacing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A7588" w:rsidRDefault="00224D6E" w:rsidP="00603F85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Maggio</w:t>
            </w:r>
          </w:p>
          <w:p w:rsidR="007A7588" w:rsidRPr="003B31F5" w:rsidRDefault="00224D6E" w:rsidP="00603F85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lang w:val="it-IT"/>
              </w:rPr>
              <w:t>Giugno</w:t>
            </w:r>
          </w:p>
          <w:p w:rsidR="007A7588" w:rsidRPr="00ED5097" w:rsidRDefault="007A7588" w:rsidP="00603F85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A7588" w:rsidRDefault="007A7588" w:rsidP="00603F8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A7588" w:rsidRPr="008D63C8" w:rsidRDefault="007A7588" w:rsidP="00603F85">
            <w:pPr>
              <w:jc w:val="right"/>
            </w:pPr>
          </w:p>
          <w:p w:rsidR="007A7588" w:rsidRPr="008D63C8" w:rsidRDefault="007A7588" w:rsidP="00603F85">
            <w:pPr>
              <w:jc w:val="right"/>
            </w:pPr>
          </w:p>
          <w:p w:rsidR="007A7588" w:rsidRPr="008D63C8" w:rsidRDefault="007A7588" w:rsidP="00603F85">
            <w:pPr>
              <w:jc w:val="right"/>
            </w:pPr>
          </w:p>
          <w:p w:rsidR="007A7588" w:rsidRPr="008D63C8" w:rsidRDefault="007A7588" w:rsidP="00603F85">
            <w:pPr>
              <w:jc w:val="right"/>
            </w:pPr>
          </w:p>
          <w:p w:rsidR="007A7588" w:rsidRPr="008D63C8" w:rsidRDefault="007A7588" w:rsidP="00603F85">
            <w:pPr>
              <w:jc w:val="right"/>
            </w:pPr>
          </w:p>
        </w:tc>
      </w:tr>
    </w:tbl>
    <w:p w:rsidR="007A7588" w:rsidRDefault="007A7588"/>
    <w:p w:rsidR="007A7588" w:rsidRDefault="007A7588"/>
    <w:p w:rsidR="007A7588" w:rsidRDefault="007A7588"/>
    <w:p w:rsidR="00886CA3" w:rsidRDefault="00886CA3"/>
    <w:sectPr w:rsidR="00886CA3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6457"/>
    <w:multiLevelType w:val="hybridMultilevel"/>
    <w:tmpl w:val="810E6900"/>
    <w:lvl w:ilvl="0" w:tplc="0688FB6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120"/>
    <w:multiLevelType w:val="hybridMultilevel"/>
    <w:tmpl w:val="49A48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4FAB"/>
    <w:multiLevelType w:val="hybridMultilevel"/>
    <w:tmpl w:val="4FE0B70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33527E1F"/>
    <w:multiLevelType w:val="hybridMultilevel"/>
    <w:tmpl w:val="C128A122"/>
    <w:lvl w:ilvl="0" w:tplc="ABAEA30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6">
    <w:nsid w:val="4D127858"/>
    <w:multiLevelType w:val="hybridMultilevel"/>
    <w:tmpl w:val="E6C4ABDC"/>
    <w:lvl w:ilvl="0" w:tplc="F9D4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7"/>
    <w:rsid w:val="000B4006"/>
    <w:rsid w:val="000B6924"/>
    <w:rsid w:val="000D73BB"/>
    <w:rsid w:val="00103FB7"/>
    <w:rsid w:val="001305A0"/>
    <w:rsid w:val="0014570D"/>
    <w:rsid w:val="001611C9"/>
    <w:rsid w:val="001620E1"/>
    <w:rsid w:val="0016787D"/>
    <w:rsid w:val="00185DF7"/>
    <w:rsid w:val="00191801"/>
    <w:rsid w:val="001A6FD5"/>
    <w:rsid w:val="001A7ADB"/>
    <w:rsid w:val="001D523D"/>
    <w:rsid w:val="001E16C4"/>
    <w:rsid w:val="00200C80"/>
    <w:rsid w:val="00206511"/>
    <w:rsid w:val="00224D6E"/>
    <w:rsid w:val="002702A6"/>
    <w:rsid w:val="00281F30"/>
    <w:rsid w:val="00287F7E"/>
    <w:rsid w:val="002A78C1"/>
    <w:rsid w:val="002B057B"/>
    <w:rsid w:val="0030632B"/>
    <w:rsid w:val="00316C7C"/>
    <w:rsid w:val="00393F40"/>
    <w:rsid w:val="003B2FFA"/>
    <w:rsid w:val="003B31F5"/>
    <w:rsid w:val="0043638E"/>
    <w:rsid w:val="00471051"/>
    <w:rsid w:val="0048100A"/>
    <w:rsid w:val="004C37DF"/>
    <w:rsid w:val="004E4E4B"/>
    <w:rsid w:val="00506702"/>
    <w:rsid w:val="005233E3"/>
    <w:rsid w:val="0054483C"/>
    <w:rsid w:val="00552C25"/>
    <w:rsid w:val="0057271B"/>
    <w:rsid w:val="00574517"/>
    <w:rsid w:val="005A5CEA"/>
    <w:rsid w:val="005B3A99"/>
    <w:rsid w:val="006460A3"/>
    <w:rsid w:val="00646BD7"/>
    <w:rsid w:val="00651802"/>
    <w:rsid w:val="00653C40"/>
    <w:rsid w:val="00684595"/>
    <w:rsid w:val="006863AF"/>
    <w:rsid w:val="006B2963"/>
    <w:rsid w:val="006D775B"/>
    <w:rsid w:val="006F106B"/>
    <w:rsid w:val="006F23EF"/>
    <w:rsid w:val="00717DD6"/>
    <w:rsid w:val="00722183"/>
    <w:rsid w:val="007363E2"/>
    <w:rsid w:val="00745278"/>
    <w:rsid w:val="00751225"/>
    <w:rsid w:val="007515EA"/>
    <w:rsid w:val="00763AC5"/>
    <w:rsid w:val="007808C0"/>
    <w:rsid w:val="007851E8"/>
    <w:rsid w:val="00794E2C"/>
    <w:rsid w:val="007A7588"/>
    <w:rsid w:val="007A76EA"/>
    <w:rsid w:val="007B25AA"/>
    <w:rsid w:val="007B468E"/>
    <w:rsid w:val="007B53D8"/>
    <w:rsid w:val="007C1D9C"/>
    <w:rsid w:val="007F4B58"/>
    <w:rsid w:val="00803585"/>
    <w:rsid w:val="008433DE"/>
    <w:rsid w:val="00853048"/>
    <w:rsid w:val="00856244"/>
    <w:rsid w:val="00867DB4"/>
    <w:rsid w:val="00886156"/>
    <w:rsid w:val="00886CA3"/>
    <w:rsid w:val="00897680"/>
    <w:rsid w:val="008B4A64"/>
    <w:rsid w:val="008B6625"/>
    <w:rsid w:val="00950E9B"/>
    <w:rsid w:val="00960973"/>
    <w:rsid w:val="00975A5F"/>
    <w:rsid w:val="00992E15"/>
    <w:rsid w:val="009A1B2B"/>
    <w:rsid w:val="009A34EC"/>
    <w:rsid w:val="00A166BD"/>
    <w:rsid w:val="00A2291F"/>
    <w:rsid w:val="00A62DA1"/>
    <w:rsid w:val="00A74500"/>
    <w:rsid w:val="00AB4256"/>
    <w:rsid w:val="00AC25D8"/>
    <w:rsid w:val="00AF55D6"/>
    <w:rsid w:val="00B36612"/>
    <w:rsid w:val="00B616EF"/>
    <w:rsid w:val="00B7593D"/>
    <w:rsid w:val="00B8464F"/>
    <w:rsid w:val="00BA6D90"/>
    <w:rsid w:val="00BC5717"/>
    <w:rsid w:val="00BD123E"/>
    <w:rsid w:val="00BF59EC"/>
    <w:rsid w:val="00C22049"/>
    <w:rsid w:val="00C22781"/>
    <w:rsid w:val="00C60D68"/>
    <w:rsid w:val="00CA4143"/>
    <w:rsid w:val="00CB0364"/>
    <w:rsid w:val="00CD37F3"/>
    <w:rsid w:val="00CD77A3"/>
    <w:rsid w:val="00CF0408"/>
    <w:rsid w:val="00D002A5"/>
    <w:rsid w:val="00D04191"/>
    <w:rsid w:val="00D06FA1"/>
    <w:rsid w:val="00D1254E"/>
    <w:rsid w:val="00D61E81"/>
    <w:rsid w:val="00D65229"/>
    <w:rsid w:val="00DA1919"/>
    <w:rsid w:val="00DA53FE"/>
    <w:rsid w:val="00DC66EE"/>
    <w:rsid w:val="00DE7CF1"/>
    <w:rsid w:val="00DF4BD0"/>
    <w:rsid w:val="00E2520D"/>
    <w:rsid w:val="00E349FB"/>
    <w:rsid w:val="00E35569"/>
    <w:rsid w:val="00E558D9"/>
    <w:rsid w:val="00E77B23"/>
    <w:rsid w:val="00E86EF6"/>
    <w:rsid w:val="00EA25E8"/>
    <w:rsid w:val="00EC6A10"/>
    <w:rsid w:val="00ED5097"/>
    <w:rsid w:val="00F06931"/>
    <w:rsid w:val="00F17D5C"/>
    <w:rsid w:val="00F3592D"/>
    <w:rsid w:val="00F41260"/>
    <w:rsid w:val="00F42FC6"/>
    <w:rsid w:val="00F96CD9"/>
    <w:rsid w:val="00FA4459"/>
    <w:rsid w:val="00FB11FC"/>
    <w:rsid w:val="00FB514C"/>
    <w:rsid w:val="00FC70F9"/>
    <w:rsid w:val="00FF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</cp:lastModifiedBy>
  <cp:revision>2</cp:revision>
  <cp:lastPrinted>2020-09-03T09:26:00Z</cp:lastPrinted>
  <dcterms:created xsi:type="dcterms:W3CDTF">2020-12-30T13:42:00Z</dcterms:created>
  <dcterms:modified xsi:type="dcterms:W3CDTF">2020-12-30T13:42:00Z</dcterms:modified>
</cp:coreProperties>
</file>